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3294" w14:textId="4445CE20" w:rsidR="009A5B9C" w:rsidRPr="00773D52" w:rsidRDefault="00E5315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73D52">
        <w:rPr>
          <w:rFonts w:ascii="Times New Roman" w:hAnsi="Times New Roman" w:cs="Times New Roman"/>
          <w:b/>
          <w:bCs/>
          <w:sz w:val="24"/>
          <w:szCs w:val="24"/>
          <w:lang w:val="ru-RU"/>
        </w:rPr>
        <w:t>Лекция 15</w:t>
      </w:r>
      <w:r w:rsidR="00773D52" w:rsidRPr="00773D5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773D52" w:rsidRPr="00773D52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Теоретические и прикладные основы электрохимической поляризации, модель Тафеля.</w:t>
      </w:r>
    </w:p>
    <w:p w14:paraId="6288F151" w14:textId="752A8CF2" w:rsidR="00773D52" w:rsidRDefault="00773D5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3D52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773D52">
        <w:rPr>
          <w:rFonts w:ascii="Times New Roman" w:hAnsi="Times New Roman" w:cs="Times New Roman"/>
          <w:sz w:val="24"/>
          <w:szCs w:val="24"/>
          <w:lang w:val="kk-KZ"/>
        </w:rPr>
        <w:t xml:space="preserve"> познакомить с основами электрохимичсекой поляризации</w:t>
      </w:r>
    </w:p>
    <w:p w14:paraId="096B336C" w14:textId="77777777" w:rsidR="00773D52" w:rsidRPr="00773D52" w:rsidRDefault="00773D52" w:rsidP="00773D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Теоретические основы электрохимического перенапряж</w:t>
      </w:r>
      <w:r w:rsidRPr="00773D5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ения</w:t>
      </w:r>
    </w:p>
    <w:p w14:paraId="70A07207" w14:textId="77777777" w:rsidR="00773D52" w:rsidRPr="00773D52" w:rsidRDefault="00773D52" w:rsidP="00773D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5643656D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Если лимитирующей стадией является сама химическая реакция – такое перенапряжение электрохимическое. Теории электрохимической поляризации были созданы в 30-40 годах. Авторы М.Фольмер, Т.Эрдей- Груз, Л.Н.Фрумкин. Познакомимся с теорией Фольмере – Эрдей-Груза. Она соответствует концентрированным растворам электролитов, когда отсутствует адсорбция. При ее создании была использована зависимость скорости химической реакции от энергия активации. </w:t>
      </w:r>
    </w:p>
    <w:p w14:paraId="7296F111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Пусть на катоде идет реакция: </w:t>
      </w:r>
    </w:p>
    <w:p w14:paraId="23AB1DA7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Ox+ne↔Red</w:t>
      </w:r>
    </w:p>
    <w:p w14:paraId="769D4889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Ей не предшествует и сопутствует другие реакции. Тогда согласно кинетики сложных реакций: </w:t>
      </w:r>
    </w:p>
    <w:p w14:paraId="0AF4AACE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object w:dxaOrig="1359" w:dyaOrig="400" w14:anchorId="763D98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19.8pt" o:ole="">
            <v:imagedata r:id="rId4" o:title=""/>
          </v:shape>
          <o:OLEObject Type="Embed" ProgID="Equation.DSMT4" ShapeID="_x0000_i1025" DrawAspect="Content" ObjectID="_1756453969" r:id="rId5"/>
        </w:object>
      </w:r>
      <w:r w:rsidRPr="00773D5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;</w:t>
      </w:r>
    </w:p>
    <w:p w14:paraId="67495E33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object w:dxaOrig="2580" w:dyaOrig="380" w14:anchorId="34124F3C">
          <v:shape id="_x0000_i1026" type="#_x0000_t75" style="width:129pt;height:19.2pt" o:ole="">
            <v:imagedata r:id="rId6" o:title=""/>
          </v:shape>
          <o:OLEObject Type="Embed" ProgID="Equation.DSMT4" ShapeID="_x0000_i1026" DrawAspect="Content" ObjectID="_1756453970" r:id="rId7"/>
        </w:object>
      </w:r>
      <w:r w:rsidRPr="00773D5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;</w:t>
      </w:r>
    </w:p>
    <w:p w14:paraId="04AFC1AB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object w:dxaOrig="4239" w:dyaOrig="380" w14:anchorId="3D768DEF">
          <v:shape id="_x0000_i1027" type="#_x0000_t75" style="width:211.8pt;height:19.2pt" o:ole="">
            <v:imagedata r:id="rId8" o:title=""/>
          </v:shape>
          <o:OLEObject Type="Embed" ProgID="Equation.DSMT4" ShapeID="_x0000_i1027" DrawAspect="Content" ObjectID="_1756453971" r:id="rId9"/>
        </w:object>
      </w:r>
      <w:r w:rsidRPr="00773D5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,</w:t>
      </w:r>
    </w:p>
    <w:p w14:paraId="65A56940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где: Е1 и Е2 – энергия активации, </w:t>
      </w:r>
    </w:p>
    <w:p w14:paraId="15C3BBEE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А1, А2 – предэкспоненциальная множитель. </w:t>
      </w:r>
    </w:p>
    <w:p w14:paraId="110D60B9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Но в электрохимии скорость это плотность тока и </w:t>
      </w:r>
    </w:p>
    <w:p w14:paraId="494442B8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object w:dxaOrig="980" w:dyaOrig="279" w14:anchorId="082FDB33">
          <v:shape id="_x0000_i1028" type="#_x0000_t75" style="width:49.2pt;height:13.8pt" o:ole="">
            <v:imagedata r:id="rId10" o:title=""/>
          </v:shape>
          <o:OLEObject Type="Embed" ProgID="Equation.DSMT4" ShapeID="_x0000_i1028" DrawAspect="Content" ObjectID="_1756453972" r:id="rId11"/>
        </w:object>
      </w:r>
      <w:r w:rsidRPr="00773D5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, то </w:t>
      </w:r>
    </w:p>
    <w:p w14:paraId="5AC05872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5160" w:dyaOrig="380" w14:anchorId="2EF8F10B">
          <v:shape id="_x0000_i1029" type="#_x0000_t75" style="width:258pt;height:19.2pt" o:ole="">
            <v:imagedata r:id="rId12" o:title=""/>
          </v:shape>
          <o:OLEObject Type="Embed" ProgID="Equation.DSMT4" ShapeID="_x0000_i1029" DrawAspect="Content" ObjectID="_1756453973" r:id="rId13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 (а) </w:t>
      </w:r>
    </w:p>
    <w:p w14:paraId="200DF1D2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</w:p>
    <w:p w14:paraId="5202C80D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Согласно представлениям Фольмера и Эрдей – Груза энергия активации состоит из двух составляющих: </w: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320" w:dyaOrig="380" w14:anchorId="1F4411B5">
          <v:shape id="_x0000_i1030" type="#_x0000_t75" style="width:16.2pt;height:19.2pt" o:ole="">
            <v:imagedata r:id="rId14" o:title=""/>
          </v:shape>
          <o:OLEObject Type="Embed" ProgID="Equation.DSMT4" ShapeID="_x0000_i1030" DrawAspect="Content" ObjectID="_1756453974" r:id="rId15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и </w: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320" w:dyaOrig="380" w14:anchorId="11681703">
          <v:shape id="_x0000_i1031" type="#_x0000_t75" style="width:16.2pt;height:19.2pt" o:ole="">
            <v:imagedata r:id="rId16" o:title=""/>
          </v:shape>
          <o:OLEObject Type="Embed" ProgID="Equation.DSMT4" ShapeID="_x0000_i1031" DrawAspect="Content" ObjectID="_1756453975" r:id="rId17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>- энергия активации, когда S=0, т.е. потенциал не имеет заряд.</w:t>
      </w:r>
    </w:p>
    <w:p w14:paraId="4FC16E7E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420" w:dyaOrig="360" w14:anchorId="614781CA">
          <v:shape id="_x0000_i1032" type="#_x0000_t75" style="width:21pt;height:18pt" o:ole="">
            <v:imagedata r:id="rId18" o:title=""/>
          </v:shape>
          <o:OLEObject Type="Embed" ProgID="Equation.DSMT4" ShapeID="_x0000_i1032" DrawAspect="Content" ObjectID="_1756453976" r:id="rId19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и </w: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440" w:dyaOrig="360" w14:anchorId="0F4B08F7">
          <v:shape id="_x0000_i1033" type="#_x0000_t75" style="width:22.2pt;height:18pt" o:ole="">
            <v:imagedata r:id="rId20" o:title=""/>
          </v:shape>
          <o:OLEObject Type="Embed" ProgID="Equation.DSMT4" ShapeID="_x0000_i1033" DrawAspect="Content" ObjectID="_1756453977" r:id="rId21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- энергия активации, когда потенциал заряжен до величины S, т.е. Еа связана с электрическим полям, создаваемым электродным потенциалам. </w:t>
      </w:r>
    </w:p>
    <w:p w14:paraId="4AB8B476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Т.к. электрохимическая реакция идет не катоде, то естественно скорость прямой реакции увеличивается, а скорость обратной реакции уменьшается, т.е. энергия активации прямой уменьшается на величину </w: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420" w:dyaOrig="360" w14:anchorId="4CA39265">
          <v:shape id="_x0000_i1034" type="#_x0000_t75" style="width:21pt;height:18pt" o:ole="">
            <v:imagedata r:id="rId18" o:title=""/>
          </v:shape>
          <o:OLEObject Type="Embed" ProgID="Equation.DSMT4" ShapeID="_x0000_i1034" DrawAspect="Content" ObjectID="_1756453978" r:id="rId22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, а энергия активации обратной реакции увеличивается на эту величину   </w: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440" w:dyaOrig="360" w14:anchorId="3A33FC0B">
          <v:shape id="_x0000_i1035" type="#_x0000_t75" style="width:22.2pt;height:18pt" o:ole="">
            <v:imagedata r:id="rId20" o:title=""/>
          </v:shape>
          <o:OLEObject Type="Embed" ProgID="Equation.DSMT4" ShapeID="_x0000_i1035" DrawAspect="Content" ObjectID="_1756453979" r:id="rId23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 и тогда: </w: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1359" w:dyaOrig="380" w14:anchorId="7758F32E">
          <v:shape id="_x0000_i1036" type="#_x0000_t75" style="width:67.8pt;height:19.2pt" o:ole="">
            <v:imagedata r:id="rId24" o:title=""/>
          </v:shape>
          <o:OLEObject Type="Embed" ProgID="Equation.DSMT4" ShapeID="_x0000_i1036" DrawAspect="Content" ObjectID="_1756453980" r:id="rId25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и </w: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1420" w:dyaOrig="380" w14:anchorId="2A762CF7">
          <v:shape id="_x0000_i1037" type="#_x0000_t75" style="width:70.8pt;height:19.2pt" o:ole="">
            <v:imagedata r:id="rId26" o:title=""/>
          </v:shape>
          <o:OLEObject Type="Embed" ProgID="Equation.DSMT4" ShapeID="_x0000_i1037" DrawAspect="Content" ObjectID="_1756453981" r:id="rId27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(І) .</w:t>
      </w:r>
    </w:p>
    <w:p w14:paraId="2AEFE0CB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Ускорению прямой реакции способствует некоторая часть </w: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240" w:dyaOrig="220" w14:anchorId="12A7BFF2">
          <v:shape id="_x0000_i1038" type="#_x0000_t75" style="width:12pt;height:10.8pt" o:ole="">
            <v:imagedata r:id="rId28" o:title=""/>
          </v:shape>
          <o:OLEObject Type="Embed" ProgID="Equation.DSMT4" ShapeID="_x0000_i1038" DrawAspect="Content" ObjectID="_1756453982" r:id="rId29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общей энергии электрического поля </w: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639" w:dyaOrig="279" w14:anchorId="487B73F1">
          <v:shape id="_x0000_i1039" type="#_x0000_t75" style="width:31.8pt;height:13.8pt" o:ole="">
            <v:imagedata r:id="rId30" o:title=""/>
          </v:shape>
          <o:OLEObject Type="Embed" ProgID="Equation.DSMT4" ShapeID="_x0000_i1039" DrawAspect="Content" ObjectID="_1756453983" r:id="rId31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, а замедлению обратной - </w: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1100" w:dyaOrig="320" w14:anchorId="431BB3E6">
          <v:shape id="_x0000_i1040" type="#_x0000_t75" style="width:55.2pt;height:16.2pt" o:ole="">
            <v:imagedata r:id="rId32" o:title=""/>
          </v:shape>
          <o:OLEObject Type="Embed" ProgID="Equation.DSMT4" ShapeID="_x0000_i1040" DrawAspect="Content" ObjectID="_1756453984" r:id="rId33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. </w: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240" w:dyaOrig="220" w14:anchorId="18D1661C">
          <v:shape id="_x0000_i1041" type="#_x0000_t75" style="width:12pt;height:10.8pt" o:ole="">
            <v:imagedata r:id="rId34" o:title=""/>
          </v:shape>
          <o:OLEObject Type="Embed" ProgID="Equation.DSMT4" ShapeID="_x0000_i1041" DrawAspect="Content" ObjectID="_1756453985" r:id="rId35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- коэффициент переноса, 0&lt;α&lt;1 и тогда (І) перепишем:  </w:t>
      </w:r>
    </w:p>
    <w:p w14:paraId="4F8FA1FD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</w:p>
    <w:p w14:paraId="5446435F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2079" w:dyaOrig="760" w14:anchorId="3446F4B3">
          <v:shape id="_x0000_i1042" type="#_x0000_t75" style="width:103.8pt;height:37.8pt" o:ole="">
            <v:imagedata r:id="rId36" o:title=""/>
          </v:shape>
          <o:OLEObject Type="Embed" ProgID="Equation.DSMT4" ShapeID="_x0000_i1042" DrawAspect="Content" ObjectID="_1756453986" r:id="rId37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  (ІІ) </w: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br/>
        <w:t xml:space="preserve">Поскольку величнина катодного потенциала имеет отрицательный знак, то (ІІ) перепишем:  </w:t>
      </w:r>
    </w:p>
    <w:p w14:paraId="269372E6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2060" w:dyaOrig="760" w14:anchorId="2126372B">
          <v:shape id="_x0000_i1043" type="#_x0000_t75" style="width:103.2pt;height:37.8pt" o:ole="">
            <v:imagedata r:id="rId38" o:title=""/>
          </v:shape>
          <o:OLEObject Type="Embed" ProgID="Equation.DSMT4" ShapeID="_x0000_i1043" DrawAspect="Content" ObjectID="_1756453987" r:id="rId39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</w:t>
      </w:r>
    </w:p>
    <w:p w14:paraId="01AB9DCD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>Подставим эти значения в уравнение (а):</w:t>
      </w:r>
    </w:p>
    <w:p w14:paraId="2FD17673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6399" w:dyaOrig="420" w14:anchorId="521F32AE">
          <v:shape id="_x0000_i1044" type="#_x0000_t75" style="width:319.8pt;height:21pt" o:ole="">
            <v:imagedata r:id="rId40" o:title=""/>
          </v:shape>
          <o:OLEObject Type="Embed" ProgID="Equation.DSMT4" ShapeID="_x0000_i1044" DrawAspect="Content" ObjectID="_1756453988" r:id="rId41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>.</w:t>
      </w:r>
    </w:p>
    <w:p w14:paraId="11B9DD5E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При постоянной Т, Р, </w: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260" w:dyaOrig="360" w14:anchorId="11E810AF">
          <v:shape id="_x0000_i1045" type="#_x0000_t75" style="width:13.2pt;height:18pt" o:ole="">
            <v:imagedata r:id="rId42" o:title=""/>
          </v:shape>
          <o:OLEObject Type="Embed" ProgID="Equation.DSMT4" ShapeID="_x0000_i1045" DrawAspect="Content" ObjectID="_1756453989" r:id="rId43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и </w: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320" w:dyaOrig="380" w14:anchorId="0ED4CA64">
          <v:shape id="_x0000_i1046" type="#_x0000_t75" style="width:16.2pt;height:19.2pt" o:ole="">
            <v:imagedata r:id="rId44" o:title=""/>
          </v:shape>
          <o:OLEObject Type="Embed" ProgID="Equation.DSMT4" ShapeID="_x0000_i1046" DrawAspect="Content" ObjectID="_1756453990" r:id="rId45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, а также </w: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300" w:dyaOrig="360" w14:anchorId="14651661">
          <v:shape id="_x0000_i1047" type="#_x0000_t75" style="width:15pt;height:18pt" o:ole="">
            <v:imagedata r:id="rId46" o:title=""/>
          </v:shape>
          <o:OLEObject Type="Embed" ProgID="Equation.DSMT4" ShapeID="_x0000_i1047" DrawAspect="Content" ObjectID="_1756453991" r:id="rId47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и </w: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320" w:dyaOrig="380" w14:anchorId="0518359F">
          <v:shape id="_x0000_i1048" type="#_x0000_t75" style="width:16.2pt;height:19.2pt" o:ole="">
            <v:imagedata r:id="rId48" o:title=""/>
          </v:shape>
          <o:OLEObject Type="Embed" ProgID="Equation.DSMT4" ShapeID="_x0000_i1048" DrawAspect="Content" ObjectID="_1756453992" r:id="rId49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 и равны </w: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200" w:dyaOrig="279" w14:anchorId="0CCDD8F3">
          <v:shape id="_x0000_i1049" type="#_x0000_t75" style="width:10.2pt;height:13.8pt" o:ole="">
            <v:imagedata r:id="rId50" o:title=""/>
          </v:shape>
          <o:OLEObject Type="Embed" ProgID="Equation.DSMT4" ShapeID="_x0000_i1049" DrawAspect="Content" ObjectID="_1756453993" r:id="rId51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, то: </w:t>
      </w:r>
    </w:p>
    <w:p w14:paraId="226E237C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5400" w:dyaOrig="400" w14:anchorId="5008A0FE">
          <v:shape id="_x0000_i1050" type="#_x0000_t75" style="width:270pt;height:19.8pt" o:ole="">
            <v:imagedata r:id="rId52" o:title=""/>
          </v:shape>
          <o:OLEObject Type="Embed" ProgID="Equation.DSMT4" ShapeID="_x0000_i1050" DrawAspect="Content" ObjectID="_1756453994" r:id="rId53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     (б)</w:t>
      </w:r>
    </w:p>
    <w:p w14:paraId="765418B2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lastRenderedPageBreak/>
        <w:t xml:space="preserve">В состоянии равновесия: </w: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1040" w:dyaOrig="420" w14:anchorId="76150B62">
          <v:shape id="_x0000_i1051" type="#_x0000_t75" style="width:52.2pt;height:21pt" o:ole="">
            <v:imagedata r:id="rId54" o:title=""/>
          </v:shape>
          <o:OLEObject Type="Embed" ProgID="Equation.DSMT4" ShapeID="_x0000_i1051" DrawAspect="Content" ObjectID="_1756453995" r:id="rId55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, т.е. </w:t>
      </w:r>
    </w:p>
    <w:p w14:paraId="13445DE7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2400" w:dyaOrig="380" w14:anchorId="2062AA03">
          <v:shape id="_x0000_i1052" type="#_x0000_t75" style="width:120pt;height:19.2pt" o:ole="">
            <v:imagedata r:id="rId56" o:title=""/>
          </v:shape>
          <o:OLEObject Type="Embed" ProgID="Equation.DSMT4" ShapeID="_x0000_i1052" DrawAspect="Content" ObjectID="_1756453996" r:id="rId57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, то </w:t>
      </w:r>
    </w:p>
    <w:p w14:paraId="40D3167F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   </w: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2820" w:dyaOrig="1400" w14:anchorId="0420EEDD">
          <v:shape id="_x0000_i1053" type="#_x0000_t75" style="width:141pt;height:70.2pt" o:ole="">
            <v:imagedata r:id="rId58" o:title=""/>
          </v:shape>
          <o:OLEObject Type="Embed" ProgID="Equation.DSMT4" ShapeID="_x0000_i1053" DrawAspect="Content" ObjectID="_1756453997" r:id="rId59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>.</w:t>
      </w:r>
    </w:p>
    <w:p w14:paraId="7D12ED16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Подставим </w: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300" w:dyaOrig="360" w14:anchorId="7E78497B">
          <v:shape id="_x0000_i1054" type="#_x0000_t75" style="width:15pt;height:18pt" o:ole="">
            <v:imagedata r:id="rId60" o:title=""/>
          </v:shape>
          <o:OLEObject Type="Embed" ProgID="Equation.DSMT4" ShapeID="_x0000_i1054" DrawAspect="Content" ObjectID="_1756453998" r:id="rId61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и </w: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320" w:dyaOrig="360" w14:anchorId="67A7F289">
          <v:shape id="_x0000_i1055" type="#_x0000_t75" style="width:16.2pt;height:18pt" o:ole="">
            <v:imagedata r:id="rId62" o:title=""/>
          </v:shape>
          <o:OLEObject Type="Embed" ProgID="Equation.DSMT4" ShapeID="_x0000_i1055" DrawAspect="Content" ObjectID="_1756453999" r:id="rId63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в уравнение (б): </w:t>
      </w:r>
    </w:p>
    <w:p w14:paraId="5A1E54DC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7800" w:dyaOrig="460" w14:anchorId="31105F8A">
          <v:shape id="_x0000_i1056" type="#_x0000_t75" style="width:390pt;height:22.8pt" o:ole="">
            <v:imagedata r:id="rId64" o:title=""/>
          </v:shape>
          <o:OLEObject Type="Embed" ProgID="Equation.DSMT4" ShapeID="_x0000_i1056" DrawAspect="Content" ObjectID="_1756454000" r:id="rId65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 (в) </w:t>
      </w:r>
    </w:p>
    <w:p w14:paraId="58AA5D1A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Так как разность потенциала над током и равновесным равно перенапряжению, то (в) перепишем: </w:t>
      </w:r>
    </w:p>
    <w:p w14:paraId="1AC29ED7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3260" w:dyaOrig="420" w14:anchorId="5C2E0EF1">
          <v:shape id="_x0000_i1057" type="#_x0000_t75" style="width:163.2pt;height:21pt" o:ole="">
            <v:imagedata r:id="rId66" o:title=""/>
          </v:shape>
          <o:OLEObject Type="Embed" ProgID="Equation.DSMT4" ShapeID="_x0000_i1057" DrawAspect="Content" ObjectID="_1756454001" r:id="rId67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, где </w: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160" w:dyaOrig="200" w14:anchorId="6E001D46">
          <v:shape id="_x0000_i1058" type="#_x0000_t75" style="width:12.6pt;height:22.2pt" o:ole="">
            <v:imagedata r:id="rId68" o:title=""/>
          </v:shape>
          <o:OLEObject Type="Embed" ProgID="Equation.DSMT4" ShapeID="_x0000_i1058" DrawAspect="Content" ObjectID="_1756454002" r:id="rId69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- перенапряжение. </w:t>
      </w:r>
    </w:p>
    <w:p w14:paraId="37546344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Если через электрохимическую систему проходит значительный ток и система существенно отклонена от равновесного, то </w: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639" w:dyaOrig="340" w14:anchorId="156FEB96">
          <v:shape id="_x0000_i1059" type="#_x0000_t75" style="width:31.8pt;height:16.8pt" o:ole="">
            <v:imagedata r:id="rId70" o:title=""/>
          </v:shape>
          <o:OLEObject Type="Embed" ProgID="Equation.DSMT4" ShapeID="_x0000_i1059" DrawAspect="Content" ObjectID="_1756454003" r:id="rId71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, поэтому </w: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200" w:dyaOrig="340" w14:anchorId="01AD955D">
          <v:shape id="_x0000_i1060" type="#_x0000_t75" style="width:10.2pt;height:16.8pt" o:ole="">
            <v:imagedata r:id="rId72" o:title=""/>
          </v:shape>
          <o:OLEObject Type="Embed" ProgID="Equation.DSMT4" ShapeID="_x0000_i1060" DrawAspect="Content" ObjectID="_1756454004" r:id="rId73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можно пренебречь и тогда: </w:t>
      </w:r>
    </w:p>
    <w:p w14:paraId="3B70F448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1440" w:dyaOrig="400" w14:anchorId="7B47C947">
          <v:shape id="_x0000_i1061" type="#_x0000_t75" style="width:1in;height:19.8pt" o:ole="">
            <v:imagedata r:id="rId74" o:title=""/>
          </v:shape>
          <o:OLEObject Type="Embed" ProgID="Equation.DSMT4" ShapeID="_x0000_i1061" DrawAspect="Content" ObjectID="_1756454005" r:id="rId75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, а </w: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1760" w:dyaOrig="400" w14:anchorId="0C01A75A">
          <v:shape id="_x0000_i1062" type="#_x0000_t75" style="width:88.2pt;height:19.8pt" o:ole="">
            <v:imagedata r:id="rId76" o:title=""/>
          </v:shape>
          <o:OLEObject Type="Embed" ProgID="Equation.DSMT4" ShapeID="_x0000_i1062" DrawAspect="Content" ObjectID="_1756454006" r:id="rId77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>.</w:t>
      </w:r>
    </w:p>
    <w:p w14:paraId="77583A0E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Преобразуем это уравнение: </w: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2360" w:dyaOrig="360" w14:anchorId="367DEA28">
          <v:shape id="_x0000_i1063" type="#_x0000_t75" style="width:118.2pt;height:18pt" o:ole="">
            <v:imagedata r:id="rId78" o:title=""/>
          </v:shape>
          <o:OLEObject Type="Embed" ProgID="Equation.DSMT4" ShapeID="_x0000_i1063" DrawAspect="Content" ObjectID="_1756454007" r:id="rId79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, тогда </w: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200" w:dyaOrig="260" w14:anchorId="178CDECB">
          <v:shape id="_x0000_i1064" type="#_x0000_t75" style="width:10.2pt;height:13.2pt" o:ole="">
            <v:imagedata r:id="rId80" o:title=""/>
          </v:shape>
          <o:OLEObject Type="Embed" ProgID="Equation.DSMT4" ShapeID="_x0000_i1064" DrawAspect="Content" ObjectID="_1756454008" r:id="rId81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будет:  </w:t>
      </w:r>
    </w:p>
    <w:p w14:paraId="0EB82B5E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пусть: </w: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2400" w:dyaOrig="1920" w14:anchorId="124BD88E">
          <v:shape id="_x0000_i1065" type="#_x0000_t75" style="width:120pt;height:96pt" o:ole="">
            <v:imagedata r:id="rId82" o:title=""/>
          </v:shape>
          <o:OLEObject Type="Embed" ProgID="Equation.DSMT4" ShapeID="_x0000_i1065" DrawAspect="Content" ObjectID="_1756454009" r:id="rId83"/>
        </w:object>
      </w:r>
    </w:p>
    <w:p w14:paraId="4A64676D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то, </w: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object w:dxaOrig="1219" w:dyaOrig="320" w14:anchorId="02BF8C04">
          <v:shape id="_x0000_i1066" type="#_x0000_t75" style="width:61.2pt;height:16.2pt" o:ole="">
            <v:imagedata r:id="rId84" o:title=""/>
          </v:shape>
          <o:OLEObject Type="Embed" ProgID="Equation.DSMT4" ShapeID="_x0000_i1066" DrawAspect="Content" ObjectID="_1756454010" r:id="rId85"/>
        </w:object>
      </w:r>
      <w:r w:rsidRPr="00773D52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- уравнение Тафеля, которое было эмпирически получено Тафелем и доказано математически нами. Анализ этого уравнения проходили в общем курсе. Это уравнение носит общий характер, но в каждом конкретном случае оно учитывает все реальные характеристики электрохимических систем. </w:t>
      </w:r>
    </w:p>
    <w:p w14:paraId="08E095DF" w14:textId="77777777" w:rsidR="00773D52" w:rsidRPr="00773D52" w:rsidRDefault="00773D52" w:rsidP="0077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</w:pPr>
    </w:p>
    <w:p w14:paraId="18B516EF" w14:textId="1E9EBD7A" w:rsidR="00773D52" w:rsidRDefault="00773D5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</w:t>
      </w:r>
    </w:p>
    <w:p w14:paraId="335AC1B0" w14:textId="77777777" w:rsidR="00773D52" w:rsidRPr="00121B14" w:rsidRDefault="00773D52" w:rsidP="00773D52">
      <w:pPr>
        <w:tabs>
          <w:tab w:val="left" w:pos="2436"/>
        </w:tabs>
        <w:jc w:val="both"/>
        <w:rPr>
          <w:rFonts w:eastAsia="Batang"/>
          <w:sz w:val="24"/>
          <w:szCs w:val="24"/>
          <w:lang w:eastAsia="ko-KR"/>
        </w:rPr>
      </w:pPr>
      <w:bookmarkStart w:id="0" w:name="_Hlk145838414"/>
      <w:r w:rsidRPr="00121B14">
        <w:rPr>
          <w:rFonts w:eastAsia="Batang"/>
          <w:sz w:val="24"/>
          <w:szCs w:val="24"/>
          <w:lang w:eastAsia="ko-KR"/>
        </w:rPr>
        <w:t xml:space="preserve">1. Оспанова А.К., </w:t>
      </w:r>
      <w:proofErr w:type="spellStart"/>
      <w:r w:rsidRPr="00121B14">
        <w:rPr>
          <w:rFonts w:eastAsia="Batang"/>
          <w:sz w:val="24"/>
          <w:szCs w:val="24"/>
          <w:lang w:eastAsia="ko-KR"/>
        </w:rPr>
        <w:t>Шабикова</w:t>
      </w:r>
      <w:proofErr w:type="spellEnd"/>
      <w:r w:rsidRPr="00121B14">
        <w:rPr>
          <w:rFonts w:eastAsia="Batang"/>
          <w:sz w:val="24"/>
          <w:szCs w:val="24"/>
          <w:lang w:eastAsia="ko-KR"/>
        </w:rPr>
        <w:t xml:space="preserve"> Г.Х., Сыздыкова Л.И. Теории и проблемы физической химии. Алматы. Изд-во </w:t>
      </w:r>
      <w:proofErr w:type="spellStart"/>
      <w:r w:rsidRPr="00121B14">
        <w:rPr>
          <w:rFonts w:eastAsia="Batang"/>
          <w:sz w:val="24"/>
          <w:szCs w:val="24"/>
          <w:lang w:eastAsia="ko-KR"/>
        </w:rPr>
        <w:t>КазНУ</w:t>
      </w:r>
      <w:proofErr w:type="spellEnd"/>
      <w:r w:rsidRPr="00121B14">
        <w:rPr>
          <w:rFonts w:eastAsia="Batang"/>
          <w:sz w:val="24"/>
          <w:szCs w:val="24"/>
          <w:lang w:eastAsia="ko-KR"/>
        </w:rPr>
        <w:t xml:space="preserve"> им. Аль-Фараби. 2021. С.191</w:t>
      </w:r>
    </w:p>
    <w:p w14:paraId="3BC53A74" w14:textId="77777777" w:rsidR="00773D52" w:rsidRPr="00121B14" w:rsidRDefault="00773D52" w:rsidP="00773D52">
      <w:pPr>
        <w:tabs>
          <w:tab w:val="left" w:pos="2436"/>
        </w:tabs>
        <w:jc w:val="both"/>
        <w:rPr>
          <w:sz w:val="24"/>
          <w:szCs w:val="24"/>
        </w:rPr>
      </w:pPr>
      <w:r w:rsidRPr="00121B14">
        <w:rPr>
          <w:rFonts w:eastAsia="Batang"/>
          <w:sz w:val="24"/>
          <w:szCs w:val="24"/>
          <w:lang w:eastAsia="ko-KR"/>
        </w:rPr>
        <w:t xml:space="preserve">2. </w:t>
      </w:r>
      <w:proofErr w:type="spellStart"/>
      <w:r w:rsidRPr="00121B14">
        <w:rPr>
          <w:rFonts w:eastAsia="Batang"/>
          <w:sz w:val="24"/>
          <w:szCs w:val="24"/>
          <w:lang w:eastAsia="ko-KR"/>
        </w:rPr>
        <w:t>Стромберг</w:t>
      </w:r>
      <w:proofErr w:type="spellEnd"/>
      <w:r w:rsidRPr="00121B14">
        <w:rPr>
          <w:rFonts w:eastAsia="Batang"/>
          <w:sz w:val="24"/>
          <w:szCs w:val="24"/>
          <w:lang w:eastAsia="ko-KR"/>
        </w:rPr>
        <w:t xml:space="preserve"> А.Г., Семченко Д.П. Физическая химия. М.: Высшая школа, 2003.-527. 193 экз.</w:t>
      </w:r>
    </w:p>
    <w:p w14:paraId="186052DA" w14:textId="77777777" w:rsidR="00773D52" w:rsidRPr="00121B14" w:rsidRDefault="00773D52" w:rsidP="00773D52">
      <w:pPr>
        <w:tabs>
          <w:tab w:val="left" w:pos="2436"/>
        </w:tabs>
        <w:jc w:val="both"/>
        <w:rPr>
          <w:sz w:val="24"/>
          <w:szCs w:val="24"/>
        </w:rPr>
      </w:pPr>
      <w:r w:rsidRPr="00121B14">
        <w:rPr>
          <w:sz w:val="24"/>
          <w:szCs w:val="24"/>
        </w:rPr>
        <w:t xml:space="preserve">3.Дамаскин Б.Б., </w:t>
      </w:r>
      <w:proofErr w:type="spellStart"/>
      <w:r w:rsidRPr="00121B14">
        <w:rPr>
          <w:sz w:val="24"/>
          <w:szCs w:val="24"/>
        </w:rPr>
        <w:t>Петрий</w:t>
      </w:r>
      <w:proofErr w:type="spellEnd"/>
      <w:r w:rsidRPr="00121B14">
        <w:rPr>
          <w:sz w:val="24"/>
          <w:szCs w:val="24"/>
        </w:rPr>
        <w:t xml:space="preserve"> О.А., </w:t>
      </w:r>
      <w:proofErr w:type="spellStart"/>
      <w:r w:rsidRPr="00121B14">
        <w:rPr>
          <w:sz w:val="24"/>
          <w:szCs w:val="24"/>
        </w:rPr>
        <w:t>Цирлина</w:t>
      </w:r>
      <w:proofErr w:type="spellEnd"/>
      <w:r w:rsidRPr="00121B14">
        <w:rPr>
          <w:sz w:val="24"/>
          <w:szCs w:val="24"/>
        </w:rPr>
        <w:t xml:space="preserve"> Г.А. Электрохимия. – М.: Химия,  Колос С, 2006. – 672 с..25 экз.</w:t>
      </w:r>
    </w:p>
    <w:bookmarkEnd w:id="0"/>
    <w:p w14:paraId="315C0C90" w14:textId="42573F73" w:rsidR="00773D52" w:rsidRPr="00773D52" w:rsidRDefault="00773D52" w:rsidP="00773D5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30235">
        <w:rPr>
          <w:sz w:val="20"/>
          <w:szCs w:val="20"/>
        </w:rPr>
        <w:t xml:space="preserve">4. </w:t>
      </w:r>
      <w:proofErr w:type="spellStart"/>
      <w:r w:rsidRPr="00530235">
        <w:rPr>
          <w:sz w:val="20"/>
          <w:szCs w:val="20"/>
        </w:rPr>
        <w:t>П.Эткинс</w:t>
      </w:r>
      <w:proofErr w:type="spellEnd"/>
      <w:r w:rsidRPr="00530235">
        <w:rPr>
          <w:sz w:val="20"/>
          <w:szCs w:val="20"/>
        </w:rPr>
        <w:t xml:space="preserve">, </w:t>
      </w:r>
      <w:proofErr w:type="spellStart"/>
      <w:r w:rsidRPr="00530235">
        <w:rPr>
          <w:sz w:val="20"/>
          <w:szCs w:val="20"/>
        </w:rPr>
        <w:t>Дж.де</w:t>
      </w:r>
      <w:proofErr w:type="spellEnd"/>
      <w:r w:rsidRPr="00530235">
        <w:rPr>
          <w:sz w:val="20"/>
          <w:szCs w:val="20"/>
        </w:rPr>
        <w:t xml:space="preserve"> Паула. Физическая</w:t>
      </w:r>
    </w:p>
    <w:sectPr w:rsidR="00773D52" w:rsidRPr="0077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5C"/>
    <w:rsid w:val="0008191F"/>
    <w:rsid w:val="006E0630"/>
    <w:rsid w:val="00773D52"/>
    <w:rsid w:val="009A5B9C"/>
    <w:rsid w:val="00E5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F72C"/>
  <w15:chartTrackingRefBased/>
  <w15:docId w15:val="{A388BC25-3377-4A2A-85D1-0BA88D48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9.bin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2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81" Type="http://schemas.openxmlformats.org/officeDocument/2006/relationships/oleObject" Target="embeddings/oleObject40.bin"/><Relationship Id="rId86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9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6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66" Type="http://schemas.openxmlformats.org/officeDocument/2006/relationships/image" Target="media/image31.wmf"/><Relationship Id="rId87" Type="http://schemas.openxmlformats.org/officeDocument/2006/relationships/theme" Target="theme/theme1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Оспанова Алья</dc:creator>
  <cp:keywords/>
  <dc:description/>
  <cp:lastModifiedBy>Оспанова Алья</cp:lastModifiedBy>
  <cp:revision>2</cp:revision>
  <dcterms:created xsi:type="dcterms:W3CDTF">2023-09-17T04:54:00Z</dcterms:created>
  <dcterms:modified xsi:type="dcterms:W3CDTF">2023-09-17T05:02:00Z</dcterms:modified>
</cp:coreProperties>
</file>